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A2CBB">
      <w:pPr>
        <w:pStyle w:val="9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1"/>
      <w:bookmarkStart w:id="1" w:name="OLE_LINK12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17</w:t>
      </w:r>
      <w:r>
        <w:rPr>
          <w:rFonts w:hint="eastAsia"/>
          <w:b/>
          <w:sz w:val="24"/>
          <w:szCs w:val="24"/>
          <w:highlight w:val="none"/>
        </w:rPr>
        <w:t xml:space="preserve">               </w:t>
      </w:r>
      <w:r>
        <w:rPr>
          <w:b/>
          <w:sz w:val="24"/>
          <w:szCs w:val="24"/>
          <w:highlight w:val="none"/>
        </w:rPr>
        <w:t xml:space="preserve">              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520460</w:t>
      </w:r>
      <w:r>
        <w:rPr>
          <w:b/>
          <w:sz w:val="24"/>
          <w:szCs w:val="24"/>
          <w:highlight w:val="none"/>
        </w:rPr>
        <w:t xml:space="preserve">           </w:t>
      </w:r>
    </w:p>
    <w:bookmarkEnd w:id="0"/>
    <w:bookmarkEnd w:id="1"/>
    <w:p w14:paraId="5C25862B">
      <w:pPr>
        <w:pStyle w:val="9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>Dallas, USA, Nov. 17-21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>,</w:t>
      </w:r>
      <w:r>
        <w:rPr>
          <w:rFonts w:hint="eastAsia" w:eastAsia="宋体" w:cs="Times New Roman"/>
          <w:b/>
          <w:bCs/>
          <w:sz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>2025</w:t>
      </w:r>
    </w:p>
    <w:p w14:paraId="5E1118E0">
      <w:pPr>
        <w:tabs>
          <w:tab w:val="left" w:pos="1985"/>
        </w:tabs>
        <w:rPr>
          <w:rFonts w:ascii="Times New Roman" w:hAnsi="Times New Roman"/>
          <w:b/>
          <w:sz w:val="22"/>
          <w:highlight w:val="none"/>
        </w:rPr>
      </w:pPr>
    </w:p>
    <w:p w14:paraId="258FEDE0">
      <w:pPr>
        <w:tabs>
          <w:tab w:val="left" w:pos="1765"/>
        </w:tabs>
        <w:rPr>
          <w:rFonts w:hint="default" w:ascii="Times New Roman" w:hAnsi="Times New Roman" w:eastAsia="宋体"/>
          <w:b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6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14</w:t>
      </w:r>
      <w:r>
        <w:rPr>
          <w:rFonts w:hint="eastAsia"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3</w:t>
      </w:r>
    </w:p>
    <w:p w14:paraId="3CDEEB51">
      <w:pPr>
        <w:tabs>
          <w:tab w:val="left" w:pos="1765"/>
        </w:tabs>
        <w:rPr>
          <w:rFonts w:ascii="Times New Roman" w:hAnsi="Times New Roman"/>
          <w:sz w:val="22"/>
          <w:highlight w:val="none"/>
        </w:rPr>
      </w:pPr>
      <w:r>
        <w:rPr>
          <w:rFonts w:ascii="Times New Roman" w:hAnsi="Times New Roman"/>
          <w:b/>
          <w:sz w:val="22"/>
          <w:highlight w:val="none"/>
        </w:rPr>
        <w:t xml:space="preserve">Source: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sz w:val="22"/>
          <w:highlight w:val="none"/>
        </w:rPr>
        <w:t>CMCC</w:t>
      </w:r>
    </w:p>
    <w:p w14:paraId="1796E118">
      <w:pPr>
        <w:rPr>
          <w:rFonts w:hint="default" w:ascii="Times New Roman" w:hAnsi="Times New Roman" w:eastAsia="宋体"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 xml:space="preserve">Title: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bookmarkStart w:id="2" w:name="OLE_LINK24"/>
      <w:bookmarkStart w:id="3" w:name="OLE_LINK23"/>
      <w:bookmarkStart w:id="4" w:name="OLE_LINK8"/>
      <w:bookmarkStart w:id="5" w:name="OLE_LINK7"/>
      <w:r>
        <w:rPr>
          <w:rFonts w:hint="eastAsia" w:ascii="Times New Roman" w:hAnsi="Times New Roman"/>
          <w:b/>
          <w:sz w:val="22"/>
          <w:highlight w:val="none"/>
          <w:lang w:val="en-US" w:eastAsia="zh-CN"/>
        </w:rPr>
        <w:t xml:space="preserve"> </w:t>
      </w:r>
      <w:r>
        <w:rPr>
          <w:rFonts w:ascii="Times New Roman" w:hAnsi="Times New Roman"/>
          <w:sz w:val="22"/>
          <w:highlight w:val="none"/>
        </w:rPr>
        <w:t>D</w:t>
      </w:r>
      <w:r>
        <w:rPr>
          <w:rFonts w:hint="eastAsia" w:ascii="Times New Roman" w:hAnsi="Times New Roman"/>
          <w:sz w:val="22"/>
          <w:highlight w:val="none"/>
        </w:rPr>
        <w:t xml:space="preserve">iscussion on </w:t>
      </w:r>
      <w:bookmarkEnd w:id="2"/>
      <w:bookmarkEnd w:id="3"/>
      <w:r>
        <w:rPr>
          <w:rFonts w:hint="eastAsia" w:ascii="Times New Roman" w:hAnsi="Times New Roman"/>
          <w:sz w:val="22"/>
          <w:highlight w:val="none"/>
          <w:lang w:val="en-US" w:eastAsia="zh-CN"/>
        </w:rPr>
        <w:t>RRM performance requirements for A-IoT</w:t>
      </w:r>
    </w:p>
    <w:bookmarkEnd w:id="4"/>
    <w:bookmarkEnd w:id="5"/>
    <w:p w14:paraId="02A05ED5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48294411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3C7735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In RAN #107 meeting, the revised WID on Solutions for Ambient IoT (Internet of Things) in NR was approved [1]. According to the WID, the objectives of RAN4 scope are duplicated as following.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106AC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61FAD0BE">
            <w:pPr>
              <w:numPr>
                <w:ilvl w:val="0"/>
                <w:numId w:val="3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  <w:t>RAN4 scope:</w:t>
            </w:r>
          </w:p>
          <w:p w14:paraId="5931C61B">
            <w:pPr>
              <w:numPr>
                <w:ilvl w:val="1"/>
                <w:numId w:val="3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Specify RF requirements for Ambient-IoT BS, device 1, and CW</w:t>
            </w:r>
          </w:p>
          <w:p w14:paraId="08874F73">
            <w:pPr>
              <w:numPr>
                <w:ilvl w:val="2"/>
                <w:numId w:val="3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RF requirements for Type 1-C Ambient-IoT BS</w:t>
            </w:r>
          </w:p>
          <w:p w14:paraId="17215131">
            <w:pPr>
              <w:numPr>
                <w:ilvl w:val="2"/>
                <w:numId w:val="3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RF requirements for device 1</w:t>
            </w:r>
          </w:p>
          <w:p w14:paraId="69775E5A">
            <w:pPr>
              <w:numPr>
                <w:ilvl w:val="2"/>
                <w:numId w:val="3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RF requirements for CW</w:t>
            </w:r>
          </w:p>
          <w:p w14:paraId="173D3E69">
            <w:pPr>
              <w:numPr>
                <w:ilvl w:val="1"/>
                <w:numId w:val="3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Specify RRM core requirements for device 1, if necessary</w:t>
            </w:r>
          </w:p>
          <w:p w14:paraId="47F85BD2">
            <w:pPr>
              <w:numPr>
                <w:ilvl w:val="1"/>
                <w:numId w:val="3"/>
              </w:numP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Study and develop OTA test methodology for A-IoT device 1</w:t>
            </w:r>
          </w:p>
          <w:p w14:paraId="534AE075">
            <w:pPr>
              <w:numPr>
                <w:ilvl w:val="2"/>
                <w:numId w:val="3"/>
              </w:numP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Consider test methods specified in TR 38.870 as starting point. Take test system reuse, test system complexity and test time into account, when developing test methods suitable for Ambient IoT.</w:t>
            </w:r>
          </w:p>
          <w:p w14:paraId="69BCB3A6">
            <w:pPr>
              <w:numPr>
                <w:ilvl w:val="2"/>
                <w:numId w:val="3"/>
              </w:numP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Develop the preliminary Measurement Uncertainty (MU) assessment for the test system</w:t>
            </w:r>
          </w:p>
          <w:p w14:paraId="5325F8A0">
            <w:pPr>
              <w:numPr>
                <w:ilvl w:val="1"/>
                <w:numId w:val="3"/>
              </w:numPr>
              <w:spacing w:after="120"/>
              <w:ind w:right="-96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Use band n8 as an example band</w:t>
            </w:r>
          </w:p>
        </w:tc>
      </w:tr>
    </w:tbl>
    <w:p w14:paraId="3B02A2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</w:p>
    <w:p w14:paraId="20A48E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In last meeting, there is discussion on RRM performance requirements for A-IoT device 1, and a WF was approved [2]. This </w:t>
      </w:r>
      <w:r>
        <w:rPr>
          <w:rFonts w:hint="eastAsia" w:ascii="Times New Roman" w:hAnsi="Times New Roman"/>
          <w:sz w:val="20"/>
          <w:szCs w:val="20"/>
        </w:rPr>
        <w:t>contribution provides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 xml:space="preserve">discussion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on this topic</w:t>
      </w:r>
      <w:r>
        <w:rPr>
          <w:rFonts w:hint="eastAsia" w:ascii="Times New Roman" w:hAnsi="Times New Roman"/>
          <w:bCs/>
          <w:iCs/>
          <w:sz w:val="20"/>
          <w:szCs w:val="20"/>
        </w:rPr>
        <w:t>.</w:t>
      </w:r>
    </w:p>
    <w:p w14:paraId="779163C4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  <w:bookmarkStart w:id="6" w:name="OLE_LINK1"/>
      <w:bookmarkStart w:id="7" w:name="OLE_LINK2"/>
      <w:r>
        <w:rPr>
          <w:rFonts w:ascii="Times New Roman" w:hAnsi="Times New Roman"/>
          <w:i/>
          <w:sz w:val="20"/>
          <w:szCs w:val="20"/>
        </w:rPr>
        <w:t xml:space="preserve"> 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59BF0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521D403D">
            <w:pPr>
              <w:pStyle w:val="5"/>
              <w:keepNext/>
              <w:keepLines/>
              <w:pageBreakBefore w:val="0"/>
              <w:widowControl/>
              <w:numPr>
                <w:ilvl w:val="3"/>
                <w:numId w:val="0"/>
              </w:numPr>
              <w:tabs>
                <w:tab w:val="left" w:pos="432"/>
                <w:tab w:val="clear" w:pos="8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textAlignment w:val="auto"/>
              <w:outlineLvl w:val="3"/>
              <w:rPr>
                <w:rFonts w:hint="default" w:ascii="Times New Roman" w:hAnsi="Times New Roman" w:eastAsia="宋体" w:cs="Times New Roman"/>
                <w:b/>
                <w:bCs/>
                <w:color w:val="0070C0"/>
                <w:sz w:val="20"/>
                <w:szCs w:val="20"/>
                <w:vertAlign w:val="subscript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70C0"/>
                <w:sz w:val="20"/>
                <w:szCs w:val="20"/>
                <w:lang w:val="en-US" w:eastAsia="zh-CN" w:bidi="ar-SA"/>
              </w:rPr>
              <w:t>Issue 1-1</w:t>
            </w:r>
            <w:r>
              <w:rPr>
                <w:rFonts w:hint="default" w:ascii="Times New Roman" w:hAnsi="Times New Roman" w:cs="Times New Roman"/>
                <w:b/>
                <w:bCs/>
                <w:color w:val="0070C0"/>
                <w:sz w:val="20"/>
                <w:szCs w:val="20"/>
                <w:lang w:val="en-US" w:eastAsia="zh-CN" w:bidi="ar-SA"/>
              </w:rPr>
              <w:t>-1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70C0"/>
                <w:sz w:val="20"/>
                <w:szCs w:val="20"/>
                <w:lang w:val="en-US" w:eastAsia="zh-CN" w:bidi="ar-SA"/>
              </w:rPr>
              <w:t xml:space="preserve">: </w:t>
            </w:r>
            <w:r>
              <w:rPr>
                <w:rFonts w:hint="default" w:ascii="Times New Roman" w:hAnsi="Times New Roman" w:cs="Times New Roman"/>
                <w:b/>
                <w:bCs/>
                <w:color w:val="0070C0"/>
                <w:sz w:val="20"/>
                <w:szCs w:val="20"/>
                <w:lang w:val="en-US" w:eastAsia="zh-CN" w:bidi="ar-SA"/>
              </w:rPr>
              <w:t>T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70C0"/>
                <w:sz w:val="20"/>
                <w:szCs w:val="20"/>
                <w:lang w:val="en-US" w:eastAsia="zh-CN" w:bidi="ar-SA"/>
              </w:rPr>
              <w:t xml:space="preserve">est </w:t>
            </w:r>
            <w:r>
              <w:rPr>
                <w:rFonts w:hint="default" w:ascii="Times New Roman" w:hAnsi="Times New Roman" w:cs="Times New Roman"/>
                <w:b/>
                <w:bCs/>
                <w:color w:val="0070C0"/>
                <w:sz w:val="20"/>
                <w:szCs w:val="20"/>
                <w:lang w:val="en-US" w:eastAsia="zh-CN" w:bidi="ar-SA"/>
              </w:rPr>
              <w:t xml:space="preserve">case 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70C0"/>
                <w:sz w:val="20"/>
                <w:szCs w:val="20"/>
                <w:lang w:val="en-US" w:eastAsia="zh-CN" w:bidi="ar-SA"/>
              </w:rPr>
              <w:t>for T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70C0"/>
                <w:sz w:val="20"/>
                <w:szCs w:val="20"/>
                <w:vertAlign w:val="subscript"/>
                <w:lang w:val="en-US" w:eastAsia="zh-CN" w:bidi="ar-SA"/>
              </w:rPr>
              <w:t>D2R_min</w:t>
            </w:r>
          </w:p>
          <w:p w14:paraId="7D70C8C9">
            <w:pPr>
              <w:snapToGrid w:val="0"/>
              <w:spacing w:after="120"/>
              <w:rPr>
                <w:rFonts w:hint="default" w:ascii="Times New Roman" w:hAnsi="Times New Roman" w:cs="Times New Roman"/>
                <w:b/>
                <w:color w:val="0070C0"/>
                <w:sz w:val="20"/>
                <w:szCs w:val="20"/>
                <w:highlight w:val="green"/>
                <w:u w:val="single"/>
                <w:lang w:eastAsia="ko-K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highlight w:val="green"/>
              </w:rPr>
              <w:t>Agreement:</w:t>
            </w:r>
          </w:p>
          <w:p w14:paraId="7B377D71">
            <w:pPr>
              <w:numPr>
                <w:ilvl w:val="0"/>
                <w:numId w:val="4"/>
              </w:numPr>
              <w:ind w:left="840" w:leftChars="0" w:hanging="420" w:firstLineChars="0"/>
              <w:rPr>
                <w:rFonts w:hint="default" w:ascii="Times New Roman" w:hAnsi="Times New Roman" w:cs="Times New Roman"/>
                <w:b/>
                <w:color w:val="0070C0"/>
                <w:sz w:val="20"/>
                <w:szCs w:val="20"/>
                <w:u w:val="single"/>
                <w:lang w:eastAsia="ko-KR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Test the performance of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T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0"/>
                <w:highlight w:val="none"/>
                <w:vertAlign w:val="subscript"/>
                <w:lang w:val="en-US" w:eastAsia="zh-CN"/>
              </w:rPr>
              <w:t>D2R_min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ja-JP"/>
              </w:rPr>
              <w:t>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 And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T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0"/>
                <w:highlight w:val="none"/>
                <w:vertAlign w:val="subscript"/>
                <w:lang w:val="en-US" w:eastAsia="zh-CN"/>
              </w:rPr>
              <w:t>D2R_min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 are tested with other RRM requirements.</w:t>
            </w:r>
          </w:p>
          <w:p w14:paraId="4041A637">
            <w:pPr>
              <w:pStyle w:val="5"/>
              <w:keepNext/>
              <w:keepLines/>
              <w:pageBreakBefore w:val="0"/>
              <w:widowControl/>
              <w:numPr>
                <w:ilvl w:val="3"/>
                <w:numId w:val="0"/>
              </w:numPr>
              <w:tabs>
                <w:tab w:val="left" w:pos="432"/>
                <w:tab w:val="clear" w:pos="8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textAlignment w:val="auto"/>
              <w:outlineLvl w:val="3"/>
              <w:rPr>
                <w:rFonts w:hint="default" w:ascii="Times New Roman" w:hAnsi="Times New Roman" w:eastAsia="宋体" w:cs="Times New Roman"/>
                <w:b/>
                <w:bCs/>
                <w:color w:val="0070C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70C0"/>
                <w:sz w:val="20"/>
                <w:szCs w:val="20"/>
                <w:highlight w:val="none"/>
                <w:lang w:val="en-US" w:eastAsia="zh-CN" w:bidi="ar-SA"/>
              </w:rPr>
              <w:t xml:space="preserve">Issue </w:t>
            </w:r>
            <w:r>
              <w:rPr>
                <w:rFonts w:hint="default" w:ascii="Times New Roman" w:hAnsi="Times New Roman" w:cs="Times New Roman"/>
                <w:b/>
                <w:bCs/>
                <w:color w:val="0070C0"/>
                <w:sz w:val="20"/>
                <w:szCs w:val="20"/>
                <w:highlight w:val="none"/>
                <w:lang w:val="en-US" w:eastAsia="zh-CN" w:bidi="ar-SA"/>
              </w:rPr>
              <w:t>1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70C0"/>
                <w:sz w:val="20"/>
                <w:szCs w:val="20"/>
                <w:highlight w:val="none"/>
                <w:lang w:val="en-US" w:eastAsia="zh-CN" w:bidi="ar-SA"/>
              </w:rPr>
              <w:t>-</w:t>
            </w:r>
            <w:r>
              <w:rPr>
                <w:rFonts w:hint="default" w:ascii="Times New Roman" w:hAnsi="Times New Roman" w:cs="Times New Roman"/>
                <w:b/>
                <w:bCs/>
                <w:color w:val="0070C0"/>
                <w:sz w:val="20"/>
                <w:szCs w:val="20"/>
                <w:highlight w:val="none"/>
                <w:lang w:val="en-US" w:eastAsia="zh-CN" w:bidi="ar-SA"/>
              </w:rPr>
              <w:t>1-2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70C0"/>
                <w:sz w:val="20"/>
                <w:szCs w:val="20"/>
                <w:highlight w:val="none"/>
                <w:lang w:val="en-US" w:eastAsia="zh-CN" w:bidi="ar-SA"/>
              </w:rPr>
              <w:t xml:space="preserve">: </w:t>
            </w:r>
            <w:r>
              <w:rPr>
                <w:rFonts w:hint="default" w:ascii="Times New Roman" w:hAnsi="Times New Roman" w:cs="Times New Roman"/>
                <w:b/>
                <w:bCs/>
                <w:color w:val="0070C0"/>
                <w:sz w:val="20"/>
                <w:szCs w:val="20"/>
                <w:highlight w:val="none"/>
                <w:lang w:val="en-US" w:eastAsia="zh-CN" w:bidi="ar-SA"/>
              </w:rPr>
              <w:t xml:space="preserve">How to define 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70C0"/>
                <w:sz w:val="20"/>
                <w:szCs w:val="20"/>
                <w:highlight w:val="none"/>
                <w:lang w:val="en-US" w:eastAsia="zh-CN" w:bidi="ar-SA"/>
              </w:rPr>
              <w:t>RRM test cases</w:t>
            </w:r>
          </w:p>
          <w:p w14:paraId="4DFCC299">
            <w:pPr>
              <w:snapToGrid w:val="0"/>
              <w:spacing w:after="120"/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highlight w:val="gree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highlight w:val="green"/>
              </w:rPr>
              <w:t>Agreement:</w:t>
            </w:r>
          </w:p>
          <w:p w14:paraId="7B83B2D5">
            <w:pPr>
              <w:pStyle w:val="13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80"/>
              <w:ind w:left="840" w:leftChars="0" w:hanging="420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0"/>
                <w:szCs w:val="20"/>
                <w:highlight w:val="none"/>
                <w:lang w:val="en-US" w:eastAsia="zh-CN"/>
              </w:rPr>
              <w:t>Define a single dedicated RRM test case</w:t>
            </w:r>
          </w:p>
          <w:p w14:paraId="1B5994D5">
            <w:pPr>
              <w:pStyle w:val="13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80"/>
              <w:ind w:left="1260" w:leftChars="0" w:hanging="420" w:firstLineChars="0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0"/>
                <w:szCs w:val="20"/>
                <w:highlight w:val="green"/>
                <w:lang w:val="en-US" w:eastAsia="ko-K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0"/>
                <w:szCs w:val="20"/>
                <w:highlight w:val="none"/>
                <w:lang w:val="en-US" w:eastAsia="zh-CN"/>
              </w:rPr>
              <w:t xml:space="preserve">Transmit timing requirements, RA procedure and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T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highlight w:val="none"/>
                <w:vertAlign w:val="subscript"/>
                <w:lang w:val="en-US" w:eastAsia="zh-CN"/>
              </w:rPr>
              <w:t>D2R_min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0"/>
                <w:szCs w:val="20"/>
                <w:highlight w:val="none"/>
                <w:lang w:val="en-US" w:eastAsia="zh-CN"/>
              </w:rPr>
              <w:t>are tested in the same test</w:t>
            </w:r>
          </w:p>
          <w:p w14:paraId="0124A847">
            <w:pPr>
              <w:pStyle w:val="5"/>
              <w:keepNext/>
              <w:keepLines/>
              <w:pageBreakBefore w:val="0"/>
              <w:widowControl/>
              <w:numPr>
                <w:ilvl w:val="3"/>
                <w:numId w:val="0"/>
              </w:numPr>
              <w:tabs>
                <w:tab w:val="left" w:pos="432"/>
                <w:tab w:val="clear" w:pos="8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textAlignment w:val="auto"/>
              <w:outlineLvl w:val="3"/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70C0"/>
                <w:sz w:val="20"/>
                <w:szCs w:val="20"/>
                <w:lang w:val="en-US" w:eastAsia="zh-CN" w:bidi="ar-SA"/>
              </w:rPr>
              <w:t>Issue 1-</w:t>
            </w:r>
            <w:r>
              <w:rPr>
                <w:rFonts w:hint="default" w:ascii="Times New Roman" w:hAnsi="Times New Roman" w:cs="Times New Roman"/>
                <w:b/>
                <w:bCs/>
                <w:color w:val="0070C0"/>
                <w:sz w:val="20"/>
                <w:szCs w:val="20"/>
                <w:lang w:val="en-US" w:eastAsia="zh-CN" w:bidi="ar-SA"/>
              </w:rPr>
              <w:t>1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70C0"/>
                <w:sz w:val="20"/>
                <w:szCs w:val="20"/>
                <w:lang w:val="en-US" w:eastAsia="zh-CN" w:bidi="ar-SA"/>
              </w:rPr>
              <w:t>-</w:t>
            </w:r>
            <w:r>
              <w:rPr>
                <w:rFonts w:hint="default" w:ascii="Times New Roman" w:hAnsi="Times New Roman" w:cs="Times New Roman"/>
                <w:b/>
                <w:bCs/>
                <w:color w:val="0070C0"/>
                <w:sz w:val="20"/>
                <w:szCs w:val="20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70C0"/>
                <w:sz w:val="20"/>
                <w:szCs w:val="20"/>
                <w:lang w:val="en-US" w:eastAsia="zh-CN" w:bidi="ar-SA"/>
              </w:rPr>
              <w:t xml:space="preserve">: </w:t>
            </w:r>
            <w:r>
              <w:rPr>
                <w:rFonts w:hint="default" w:ascii="Times New Roman" w:hAnsi="Times New Roman" w:cs="Times New Roman"/>
                <w:b/>
                <w:bCs/>
                <w:color w:val="0070C0"/>
                <w:sz w:val="20"/>
                <w:szCs w:val="20"/>
                <w:lang w:val="en-US" w:eastAsia="zh-CN" w:bidi="ar-SA"/>
              </w:rPr>
              <w:t>Test configuration/procedure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70C0"/>
                <w:sz w:val="20"/>
                <w:szCs w:val="20"/>
                <w:lang w:val="en-US" w:eastAsia="zh-CN" w:bidi="ar-SA"/>
              </w:rPr>
              <w:t xml:space="preserve"> </w:t>
            </w:r>
          </w:p>
          <w:p w14:paraId="352C7AA4">
            <w:pPr>
              <w:snapToGrid w:val="0"/>
              <w:spacing w:after="120"/>
              <w:rPr>
                <w:rFonts w:hint="default" w:ascii="Times New Roman" w:hAnsi="Times New Roman" w:cs="Times New Roman"/>
                <w:b/>
                <w:color w:val="0070C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highlight w:val="green"/>
              </w:rPr>
              <w:t>Agreement:</w:t>
            </w:r>
          </w:p>
          <w:p w14:paraId="01B3DB46">
            <w:pPr>
              <w:pStyle w:val="13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120"/>
              <w:ind w:left="840" w:leftChars="0" w:hanging="420" w:firstLineChars="0"/>
              <w:textAlignment w:val="auto"/>
              <w:rPr>
                <w:rFonts w:hint="default" w:ascii="Times New Roman" w:hAnsi="Times New Roman" w:cs="Times New Roman"/>
                <w:iCs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 xml:space="preserve">In high level, take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highlight w:val="none"/>
              </w:rPr>
              <w:t>the test procedures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/FRCs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highlight w:val="none"/>
              </w:rPr>
              <w:t xml:space="preserve"> for sensitivity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>from RF session as baseline</w:t>
            </w:r>
          </w:p>
          <w:p w14:paraId="0640ABF6">
            <w:pPr>
              <w:pStyle w:val="13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120"/>
              <w:ind w:left="840" w:leftChars="0" w:hanging="42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>CBRA is in use in the test</w:t>
            </w:r>
          </w:p>
        </w:tc>
      </w:tr>
    </w:tbl>
    <w:p w14:paraId="041BFA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sz w:val="20"/>
          <w:szCs w:val="20"/>
          <w:highlight w:val="none"/>
          <w:lang w:val="en-US" w:eastAsia="zh-CN"/>
        </w:rPr>
      </w:pPr>
    </w:p>
    <w:p w14:paraId="7181EE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sz w:val="20"/>
          <w:szCs w:val="20"/>
          <w:highlight w:val="none"/>
          <w:lang w:val="en-US" w:eastAsia="zh-CN"/>
        </w:rPr>
        <w:t>In last meeting, it was agreed t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o define </w:t>
      </w:r>
      <w:r>
        <w:rPr>
          <w:rFonts w:hint="default" w:ascii="Times New Roman" w:hAnsi="Times New Roman" w:eastAsia="宋体" w:cs="Times New Roman"/>
          <w:b w:val="0"/>
          <w:bCs/>
          <w:sz w:val="20"/>
          <w:szCs w:val="20"/>
          <w:highlight w:val="none"/>
          <w:lang w:val="en-US" w:eastAsia="zh-CN"/>
        </w:rPr>
        <w:t>a single dedicated RRM test case</w:t>
      </w:r>
      <w:r>
        <w:rPr>
          <w:rFonts w:hint="eastAsia" w:ascii="Times New Roman" w:hAnsi="Times New Roman" w:cs="Times New Roman"/>
          <w:b w:val="0"/>
          <w:bCs/>
          <w:sz w:val="20"/>
          <w:szCs w:val="20"/>
          <w:highlight w:val="none"/>
          <w:lang w:val="en-US" w:eastAsia="zh-CN"/>
        </w:rPr>
        <w:t xml:space="preserve"> to verify RA procedure and the requirements related with timing</w:t>
      </w:r>
      <w:r>
        <w:rPr>
          <w:rFonts w:hint="eastAsia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. It was also agreed that CBRA 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is in use in the test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. In our view, following procedures can be considered</w:t>
      </w:r>
      <w:r>
        <w:rPr>
          <w:rFonts w:hint="eastAsia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to define the test cases.</w:t>
      </w:r>
    </w:p>
    <w:p w14:paraId="0BDA9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Step 1: TE transmits an R2D message carrying A-IoT Paging message</w:t>
      </w:r>
    </w:p>
    <w:p w14:paraId="197DFD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Step 2: device transmits an D2R message carrying Access Random ID (Msg1)</w:t>
      </w:r>
    </w:p>
    <w:p w14:paraId="61D5A5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Step 3: device receives an R2D message carrying the same access random ID as transmitted by the device in Step 2 (MSG2). The R2D reception is no early than T</w:t>
      </w:r>
      <w:r>
        <w:rPr>
          <w:rFonts w:hint="eastAsia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D2R_min</w:t>
      </w:r>
      <w:r>
        <w:rPr>
          <w:rFonts w:hint="eastAsia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after Msg1 transmission</w:t>
      </w:r>
    </w:p>
    <w:p w14:paraId="5B6B15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Step 4: device transmits an D2R message (MSG3) </w:t>
      </w:r>
    </w:p>
    <w:p w14:paraId="4AFC3B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Proposal 1: the test procedures for RRM test is proposed as following:</w:t>
      </w:r>
    </w:p>
    <w:p w14:paraId="70D88ADD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420" w:leftChars="0" w:hanging="420" w:firstLineChars="0"/>
        <w:textAlignment w:val="auto"/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Step 1: TE transmits an R2D message carrying A-IoT Paging message</w:t>
      </w:r>
    </w:p>
    <w:p w14:paraId="5431C5B3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420" w:leftChars="0" w:hanging="420" w:firstLineChars="0"/>
        <w:textAlignment w:val="auto"/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Step 2: device transmits an D2R message carrying Access Random ID (Msg1). The D2R transmission shall meet the transmit timing requirements</w:t>
      </w:r>
    </w:p>
    <w:p w14:paraId="2C25A8DD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420" w:leftChars="0" w:hanging="420" w:firstLineChars="0"/>
        <w:textAlignment w:val="auto"/>
        <w:rPr>
          <w:rFonts w:hint="default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Step 3: device receives an R2D message carrying the same access random ID as transmitted by the device in Step 2 (MSG2). The R2D reception is no early than T</w:t>
      </w:r>
      <w:r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D2R_min</w:t>
      </w:r>
      <w:r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after Msg1 transmission</w:t>
      </w:r>
    </w:p>
    <w:p w14:paraId="35C2990C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420" w:leftChars="0" w:hanging="420" w:firstLineChars="0"/>
        <w:textAlignment w:val="auto"/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Step 4: device transmits an D2R message (MSG3). The D2R transmission shall meet the transmit timing requirements </w:t>
      </w:r>
    </w:p>
    <w:p w14:paraId="66A9E1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bookmarkEnd w:id="6"/>
    <w:bookmarkEnd w:id="7"/>
    <w:p w14:paraId="046857AF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Conclusion</w:t>
      </w:r>
    </w:p>
    <w:p w14:paraId="527F3A70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  <w:highlight w:val="none"/>
        </w:rPr>
      </w:pPr>
      <w:r>
        <w:rPr>
          <w:rFonts w:hint="eastAsia" w:ascii="Times New Roman" w:hAnsi="Times New Roman"/>
          <w:sz w:val="20"/>
          <w:szCs w:val="20"/>
          <w:highlight w:val="none"/>
          <w:lang w:val="en-GB"/>
        </w:rPr>
        <w:t>T</w:t>
      </w:r>
      <w:r>
        <w:rPr>
          <w:rFonts w:ascii="Times New Roman" w:hAnsi="Times New Roman"/>
          <w:sz w:val="20"/>
          <w:szCs w:val="20"/>
          <w:highlight w:val="none"/>
        </w:rPr>
        <w:t>his contribution</w:t>
      </w:r>
      <w:r>
        <w:rPr>
          <w:rFonts w:hint="eastAsia" w:ascii="Times New Roman" w:hAnsi="Times New Roman"/>
          <w:sz w:val="20"/>
          <w:szCs w:val="20"/>
          <w:highlight w:val="none"/>
        </w:rPr>
        <w:t xml:space="preserve"> provides discussion on</w:t>
      </w:r>
      <w:r>
        <w:rPr>
          <w:rFonts w:ascii="Times New Roman" w:hAnsi="Times New Roman"/>
          <w:sz w:val="20"/>
          <w:szCs w:val="20"/>
          <w:highlight w:val="none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RRM performance requirements for A-IoT</w:t>
      </w:r>
      <w:r>
        <w:rPr>
          <w:rFonts w:hint="eastAsia" w:ascii="Times New Roman" w:hAnsi="Times New Roman"/>
          <w:sz w:val="20"/>
          <w:szCs w:val="20"/>
          <w:highlight w:val="none"/>
        </w:rPr>
        <w:t>. The proposals are:</w:t>
      </w:r>
    </w:p>
    <w:p w14:paraId="6774B6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Proposal 1: the test procedures for RRM test is proposed as following:</w:t>
      </w:r>
    </w:p>
    <w:p w14:paraId="5CE70944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420" w:leftChars="0" w:hanging="420" w:firstLineChars="0"/>
        <w:textAlignment w:val="auto"/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Step 1: TE transmits an R2D message carrying A-IoT Paging message</w:t>
      </w:r>
    </w:p>
    <w:p w14:paraId="7186D988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420" w:leftChars="0" w:hanging="420" w:firstLineChars="0"/>
        <w:textAlignment w:val="auto"/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Step 2: device transmits an D2R message carrying Access Random ID (Msg1). The D2R transmission shall meet the transmit timing requirements</w:t>
      </w:r>
    </w:p>
    <w:p w14:paraId="0156CDE4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420" w:leftChars="0" w:hanging="420" w:firstLineChars="0"/>
        <w:textAlignment w:val="auto"/>
        <w:rPr>
          <w:rFonts w:hint="default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Step 3: device receives an R2D message carrying the same access random ID as transmitted by the device in Step 2 (MSG2). The R2D reception is no early than T</w:t>
      </w:r>
      <w:r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D2R_min</w:t>
      </w:r>
      <w:r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after Msg1 transmission</w:t>
      </w:r>
    </w:p>
    <w:p w14:paraId="345FC4A4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420" w:leftChars="0" w:hanging="420" w:firstLineChars="0"/>
        <w:textAlignment w:val="auto"/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Step 4: device transmits an D2R message (MSG3). The D2R transmission shall meet the transmit timing requirements </w:t>
      </w:r>
    </w:p>
    <w:p w14:paraId="5A9410F3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  <w:highlight w:val="none"/>
        </w:rPr>
      </w:pPr>
      <w:bookmarkStart w:id="8" w:name="_GoBack"/>
      <w:bookmarkEnd w:id="8"/>
    </w:p>
    <w:p w14:paraId="54BE5A42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1C60A1B9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9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50796</w:t>
      </w:r>
      <w:r>
        <w:rPr>
          <w:rFonts w:ascii="Times" w:hAnsi="Times" w:eastAsia="宋体"/>
          <w:b w:val="0"/>
          <w:sz w:val="20"/>
          <w:lang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Revised WID: New Work Item: Solutions for Ambient IoT (Internet of Things) in NR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CMCC, Huawei, T-Mobile USA Inc</w:t>
      </w:r>
    </w:p>
    <w:p w14:paraId="62C7E360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9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15061, </w:t>
      </w:r>
      <w:r>
        <w:rPr>
          <w:rFonts w:hint="eastAsia" w:ascii="Times" w:hAnsi="Times" w:eastAsia="宋体"/>
          <w:b w:val="0"/>
          <w:sz w:val="20"/>
          <w:lang w:eastAsia="zh-CN"/>
        </w:rPr>
        <w:t>Way Forward for [116bis][315] A-IoT_device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CMCC</w:t>
      </w:r>
    </w:p>
    <w:p w14:paraId="00B2099E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9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12134, </w:t>
      </w:r>
      <w:r>
        <w:rPr>
          <w:rFonts w:hint="eastAsia" w:ascii="Times" w:hAnsi="Times" w:eastAsia="宋体"/>
          <w:b w:val="0"/>
          <w:sz w:val="20"/>
          <w:lang w:eastAsia="zh-CN"/>
        </w:rPr>
        <w:t>WF on RRM for Ambient_IoT_Solutions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CMCC</w:t>
      </w:r>
    </w:p>
    <w:p w14:paraId="3CED6062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9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R4-2508275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RRM requirements for Ambient_IoT_Solutions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CMCC</w:t>
      </w:r>
    </w:p>
    <w:p w14:paraId="2E8D8ED0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9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R4-2504905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RRM requirements for Ambient_IoT_Solutions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CMCC</w:t>
      </w:r>
    </w:p>
    <w:p w14:paraId="24E42CB0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 w:rightChars="0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</w:p>
    <w:p w14:paraId="231A50B7">
      <w:pPr>
        <w:pStyle w:val="14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</w:p>
    <w:p w14:paraId="0A523C19">
      <w:pPr>
        <w:pStyle w:val="14"/>
        <w:framePr w:wrap="auto" w:vAnchor="margin" w:hAnchor="text" w:yAlign="inline"/>
        <w:ind w:right="40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</w:p>
    <w:p w14:paraId="0EEF2378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7E4207"/>
    <w:multiLevelType w:val="singleLevel"/>
    <w:tmpl w:val="B47E4207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1">
    <w:nsid w:val="BAAEDC2D"/>
    <w:multiLevelType w:val="singleLevel"/>
    <w:tmpl w:val="BAAEDC2D"/>
    <w:lvl w:ilvl="0" w:tentative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abstractNum w:abstractNumId="2">
    <w:nsid w:val="1E9EF811"/>
    <w:multiLevelType w:val="singleLevel"/>
    <w:tmpl w:val="1E9EF811"/>
    <w:lvl w:ilvl="0" w:tentative="0">
      <w:start w:val="1"/>
      <w:numFmt w:val="decimal"/>
      <w:suff w:val="space"/>
      <w:lvlText w:val="[%1]"/>
      <w:lvlJc w:val="left"/>
    </w:lvl>
  </w:abstractNum>
  <w:abstractNum w:abstractNumId="3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333D8B52"/>
    <w:multiLevelType w:val="singleLevel"/>
    <w:tmpl w:val="333D8B52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5">
    <w:nsid w:val="3A3FB727"/>
    <w:multiLevelType w:val="singleLevel"/>
    <w:tmpl w:val="3A3FB727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6">
    <w:nsid w:val="595F61B2"/>
    <w:multiLevelType w:val="singleLevel"/>
    <w:tmpl w:val="595F61B2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7">
    <w:nsid w:val="616A68C6"/>
    <w:multiLevelType w:val="multilevel"/>
    <w:tmpl w:val="616A68C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4508A"/>
    <w:rsid w:val="01AF6A99"/>
    <w:rsid w:val="03EA2651"/>
    <w:rsid w:val="067803E8"/>
    <w:rsid w:val="06A50B76"/>
    <w:rsid w:val="06BB2083"/>
    <w:rsid w:val="08375E63"/>
    <w:rsid w:val="08511850"/>
    <w:rsid w:val="08D72A91"/>
    <w:rsid w:val="0A7648BF"/>
    <w:rsid w:val="0A7A49BE"/>
    <w:rsid w:val="0A922065"/>
    <w:rsid w:val="0ACC294E"/>
    <w:rsid w:val="0BB44D87"/>
    <w:rsid w:val="0BED0F30"/>
    <w:rsid w:val="0CBD16F5"/>
    <w:rsid w:val="0CD8520D"/>
    <w:rsid w:val="0DD40EBD"/>
    <w:rsid w:val="0E367C5D"/>
    <w:rsid w:val="0EB9159E"/>
    <w:rsid w:val="11604C92"/>
    <w:rsid w:val="11D129C7"/>
    <w:rsid w:val="12236F4E"/>
    <w:rsid w:val="13057541"/>
    <w:rsid w:val="1364390A"/>
    <w:rsid w:val="137E5A09"/>
    <w:rsid w:val="15984173"/>
    <w:rsid w:val="19A91D8B"/>
    <w:rsid w:val="19CE05F3"/>
    <w:rsid w:val="1B65127F"/>
    <w:rsid w:val="1CB317C0"/>
    <w:rsid w:val="1F9F6471"/>
    <w:rsid w:val="1FCF11BE"/>
    <w:rsid w:val="20282B52"/>
    <w:rsid w:val="20372402"/>
    <w:rsid w:val="20814F9D"/>
    <w:rsid w:val="208805ED"/>
    <w:rsid w:val="20F766A2"/>
    <w:rsid w:val="22ED6B5D"/>
    <w:rsid w:val="23046067"/>
    <w:rsid w:val="25DF10AE"/>
    <w:rsid w:val="26121144"/>
    <w:rsid w:val="27DC69EE"/>
    <w:rsid w:val="29EC29E9"/>
    <w:rsid w:val="2A552882"/>
    <w:rsid w:val="2BD8717A"/>
    <w:rsid w:val="2C7F23A1"/>
    <w:rsid w:val="2CB20162"/>
    <w:rsid w:val="2D2B45A9"/>
    <w:rsid w:val="2E8A1F67"/>
    <w:rsid w:val="2FCE1F78"/>
    <w:rsid w:val="31174DA4"/>
    <w:rsid w:val="318E5C54"/>
    <w:rsid w:val="31E51409"/>
    <w:rsid w:val="32886F74"/>
    <w:rsid w:val="330C088E"/>
    <w:rsid w:val="33552E44"/>
    <w:rsid w:val="3555506A"/>
    <w:rsid w:val="37187417"/>
    <w:rsid w:val="37764AE1"/>
    <w:rsid w:val="38A21551"/>
    <w:rsid w:val="3A684100"/>
    <w:rsid w:val="3AA52A15"/>
    <w:rsid w:val="3B8D0A22"/>
    <w:rsid w:val="3C0E0A5C"/>
    <w:rsid w:val="3CCE58E4"/>
    <w:rsid w:val="3EC83B67"/>
    <w:rsid w:val="3F0D09C6"/>
    <w:rsid w:val="3F3E1E72"/>
    <w:rsid w:val="3FE206D5"/>
    <w:rsid w:val="40BB4940"/>
    <w:rsid w:val="40C377CE"/>
    <w:rsid w:val="40C81012"/>
    <w:rsid w:val="40FB31AB"/>
    <w:rsid w:val="41C932CA"/>
    <w:rsid w:val="43247753"/>
    <w:rsid w:val="43394480"/>
    <w:rsid w:val="44767BDF"/>
    <w:rsid w:val="44FF5255"/>
    <w:rsid w:val="46CC1F51"/>
    <w:rsid w:val="46ED24A2"/>
    <w:rsid w:val="487E0D7E"/>
    <w:rsid w:val="4AD7736C"/>
    <w:rsid w:val="4B3621F1"/>
    <w:rsid w:val="4B8A3F84"/>
    <w:rsid w:val="4CD27092"/>
    <w:rsid w:val="4D416DCE"/>
    <w:rsid w:val="4D594475"/>
    <w:rsid w:val="4DF27705"/>
    <w:rsid w:val="4EA24A37"/>
    <w:rsid w:val="4FDF2F1A"/>
    <w:rsid w:val="514E65F3"/>
    <w:rsid w:val="532C2301"/>
    <w:rsid w:val="53A71C4B"/>
    <w:rsid w:val="554C3600"/>
    <w:rsid w:val="572A2B91"/>
    <w:rsid w:val="57551E0F"/>
    <w:rsid w:val="578135A0"/>
    <w:rsid w:val="58234C98"/>
    <w:rsid w:val="58BC54DF"/>
    <w:rsid w:val="5ACF2987"/>
    <w:rsid w:val="5CCE66D5"/>
    <w:rsid w:val="5E3A5D61"/>
    <w:rsid w:val="5F3131BC"/>
    <w:rsid w:val="5FD0250C"/>
    <w:rsid w:val="603B0CB0"/>
    <w:rsid w:val="60541D9A"/>
    <w:rsid w:val="60BD0047"/>
    <w:rsid w:val="620C10EB"/>
    <w:rsid w:val="624C0D43"/>
    <w:rsid w:val="63504103"/>
    <w:rsid w:val="63F97611"/>
    <w:rsid w:val="64805613"/>
    <w:rsid w:val="65B3796C"/>
    <w:rsid w:val="665A5356"/>
    <w:rsid w:val="6684087E"/>
    <w:rsid w:val="67125837"/>
    <w:rsid w:val="679A112F"/>
    <w:rsid w:val="679D5A27"/>
    <w:rsid w:val="681151C8"/>
    <w:rsid w:val="6BC309B6"/>
    <w:rsid w:val="6D6E1218"/>
    <w:rsid w:val="6F9C23FB"/>
    <w:rsid w:val="70EF3E1D"/>
    <w:rsid w:val="729713FF"/>
    <w:rsid w:val="73BF0E77"/>
    <w:rsid w:val="73FD7D23"/>
    <w:rsid w:val="74B46F86"/>
    <w:rsid w:val="74BC5500"/>
    <w:rsid w:val="750352FD"/>
    <w:rsid w:val="7505015D"/>
    <w:rsid w:val="751F6501"/>
    <w:rsid w:val="75264FF6"/>
    <w:rsid w:val="759E7B54"/>
    <w:rsid w:val="76542E2F"/>
    <w:rsid w:val="76B367FD"/>
    <w:rsid w:val="776F2970"/>
    <w:rsid w:val="78047EB1"/>
    <w:rsid w:val="78417632"/>
    <w:rsid w:val="7AAC00BD"/>
    <w:rsid w:val="7AFC5AB2"/>
    <w:rsid w:val="7B4836CD"/>
    <w:rsid w:val="7D6C7155"/>
    <w:rsid w:val="7D997FC8"/>
    <w:rsid w:val="7DC1309B"/>
    <w:rsid w:val="7DF870B2"/>
    <w:rsid w:val="7E2F6E92"/>
    <w:rsid w:val="7F0326EE"/>
    <w:rsid w:val="7F67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2"/>
    <w:next w:val="1"/>
    <w:qFormat/>
    <w:uiPriority w:val="0"/>
    <w:pPr>
      <w:widowControl/>
      <w:numPr>
        <w:ilvl w:val="0"/>
        <w:numId w:val="0"/>
      </w:numPr>
      <w:tabs>
        <w:tab w:val="left" w:pos="576"/>
        <w:tab w:val="clear" w:pos="432"/>
      </w:tabs>
      <w:spacing w:before="180" w:after="180" w:line="240" w:lineRule="auto"/>
      <w:ind w:left="576" w:hanging="576"/>
      <w:jc w:val="left"/>
      <w:outlineLvl w:val="1"/>
    </w:pPr>
    <w:rPr>
      <w:rFonts w:ascii="Arial" w:hAnsi="Arial" w:eastAsia="MS Mincho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List 2"/>
    <w:basedOn w:val="8"/>
    <w:qFormat/>
    <w:uiPriority w:val="0"/>
    <w:pPr>
      <w:ind w:left="851"/>
    </w:pPr>
  </w:style>
  <w:style w:type="paragraph" w:styleId="8">
    <w:name w:val="List"/>
    <w:basedOn w:val="1"/>
    <w:qFormat/>
    <w:uiPriority w:val="0"/>
    <w:pPr>
      <w:ind w:left="568" w:hanging="284"/>
    </w:pPr>
  </w:style>
  <w:style w:type="paragraph" w:styleId="9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table" w:styleId="11">
    <w:name w:val="Table Grid"/>
    <w:basedOn w:val="10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3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6">
    <w:name w:val="TAH"/>
    <w:basedOn w:val="17"/>
    <w:qFormat/>
    <w:uiPriority w:val="0"/>
    <w:rPr>
      <w:b/>
    </w:rPr>
  </w:style>
  <w:style w:type="paragraph" w:customStyle="1" w:styleId="17">
    <w:name w:val="TAC"/>
    <w:basedOn w:val="18"/>
    <w:qFormat/>
    <w:uiPriority w:val="0"/>
    <w:pPr>
      <w:jc w:val="center"/>
    </w:pPr>
  </w:style>
  <w:style w:type="paragraph" w:customStyle="1" w:styleId="1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9">
    <w:name w:val="TAN"/>
    <w:basedOn w:val="18"/>
    <w:qFormat/>
    <w:uiPriority w:val="0"/>
    <w:pPr>
      <w:ind w:left="851" w:hanging="851"/>
    </w:pPr>
  </w:style>
  <w:style w:type="paragraph" w:customStyle="1" w:styleId="20">
    <w:name w:val="B2"/>
    <w:basedOn w:val="7"/>
    <w:qFormat/>
    <w:uiPriority w:val="0"/>
  </w:style>
  <w:style w:type="paragraph" w:customStyle="1" w:styleId="21">
    <w:name w:val="0 Main text"/>
    <w:basedOn w:val="1"/>
    <w:qFormat/>
    <w:uiPriority w:val="0"/>
    <w:pPr>
      <w:jc w:val="both"/>
    </w:pPr>
    <w:rPr>
      <w:rFonts w:ascii="Times New Roman" w:hAnsi="Times New Roman" w:eastAsia="Malgun Gothic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2024-11-01T08:46:00Z</dcterms:created>
  <dc:creator>cmcc</dc:creator>
  <cp:lastModifiedBy>CMCC-Jingjing</cp:lastModifiedBy>
  <dcterms:modified xsi:type="dcterms:W3CDTF">2025-11-07T08:15:15Z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D7914810C25943A9B23237FB063E3B17</vt:lpwstr>
  </property>
</Properties>
</file>